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CF931" w14:textId="43A9CEE5" w:rsidR="00462713" w:rsidRDefault="00462713" w:rsidP="001009B1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Cycle </w:t>
      </w:r>
      <w:r w:rsidR="00756AF8">
        <w:rPr>
          <w:rFonts w:ascii="Arial" w:hAnsi="Arial" w:cs="Arial"/>
          <w:b/>
          <w:color w:val="000000" w:themeColor="text1"/>
        </w:rPr>
        <w:t>2</w:t>
      </w:r>
    </w:p>
    <w:p w14:paraId="66F034C8" w14:textId="01CD4DA4" w:rsidR="004B29FB" w:rsidRDefault="00462713" w:rsidP="001009B1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Department: </w:t>
      </w:r>
      <w:r w:rsidR="004C1947" w:rsidRPr="004C1947">
        <w:rPr>
          <w:rFonts w:ascii="Arial" w:hAnsi="Arial" w:cs="Arial"/>
          <w:bCs/>
          <w:color w:val="000000" w:themeColor="text1"/>
        </w:rPr>
        <w:t>History</w:t>
      </w:r>
    </w:p>
    <w:p w14:paraId="575CDD7B" w14:textId="7ED0F209" w:rsidR="00F1599D" w:rsidRDefault="00F1599D" w:rsidP="001009B1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Review of previous actions:</w:t>
      </w:r>
    </w:p>
    <w:p w14:paraId="079B62F1" w14:textId="77777777" w:rsidR="00756AF8" w:rsidRPr="00756AF8" w:rsidRDefault="00756AF8" w:rsidP="00756AF8">
      <w:pPr>
        <w:pStyle w:val="ListParagraph"/>
        <w:numPr>
          <w:ilvl w:val="0"/>
          <w:numId w:val="6"/>
        </w:numPr>
        <w:rPr>
          <w:highlight w:val="green"/>
          <w:lang w:eastAsia="en-GB"/>
        </w:rPr>
      </w:pPr>
      <w:r w:rsidRPr="00756AF8">
        <w:rPr>
          <w:highlight w:val="green"/>
          <w:lang w:eastAsia="en-GB"/>
        </w:rPr>
        <w:t>Scripting Stretch Qs and As, as part of planning central resources and planning to the detail, as already modelled through department PL/meetings (ABA et al.)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009B1" w14:paraId="74AC9B79" w14:textId="77777777" w:rsidTr="00B13F46">
        <w:tc>
          <w:tcPr>
            <w:tcW w:w="4508" w:type="dxa"/>
          </w:tcPr>
          <w:p w14:paraId="5CFF2C6A" w14:textId="77777777" w:rsidR="001009B1" w:rsidRDefault="001009B1" w:rsidP="00B13F46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Strengths</w:t>
            </w:r>
          </w:p>
        </w:tc>
        <w:tc>
          <w:tcPr>
            <w:tcW w:w="4508" w:type="dxa"/>
          </w:tcPr>
          <w:p w14:paraId="4457BAF8" w14:textId="77777777" w:rsidR="001009B1" w:rsidRDefault="001009B1" w:rsidP="00B13F46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Areas for further development</w:t>
            </w:r>
          </w:p>
        </w:tc>
      </w:tr>
      <w:tr w:rsidR="001009B1" w14:paraId="1B153061" w14:textId="77777777" w:rsidTr="00B13F46">
        <w:tc>
          <w:tcPr>
            <w:tcW w:w="4508" w:type="dxa"/>
          </w:tcPr>
          <w:p w14:paraId="1CD579EE" w14:textId="77777777" w:rsidR="001009B1" w:rsidRDefault="001009B1" w:rsidP="00B13F46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</w:p>
          <w:p w14:paraId="5C9FE97B" w14:textId="573C9ABA" w:rsidR="004C1947" w:rsidRDefault="004C1947" w:rsidP="004C194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 xml:space="preserve">Consistency of enactment of the curriculum from one T to the next across the department, meaning that all scholars are receiving the same entitlement to a rich History curriculum. </w:t>
            </w:r>
            <w:r w:rsidR="00C3241D">
              <w:rPr>
                <w:rFonts w:ascii="Arial" w:hAnsi="Arial" w:cs="Arial"/>
                <w:bCs/>
                <w:iCs/>
                <w:color w:val="000000" w:themeColor="text1"/>
              </w:rPr>
              <w:t xml:space="preserve">The disciplinary demands on scholars are well pitched and ensuring they know more and can do more. </w:t>
            </w:r>
          </w:p>
          <w:p w14:paraId="0DEBFE42" w14:textId="77777777" w:rsidR="001009B1" w:rsidRPr="00BF659C" w:rsidRDefault="00BF659C" w:rsidP="00BF659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Selective feedback on the Do Now activity is effective, so as scholars receive high leverage feed forward feedback is effective.</w:t>
            </w:r>
          </w:p>
          <w:p w14:paraId="08931FC3" w14:textId="3C71DB29" w:rsidR="00BF659C" w:rsidRDefault="00BF659C" w:rsidP="00BF659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BF659C">
              <w:rPr>
                <w:rFonts w:ascii="Arial" w:hAnsi="Arial" w:cs="Arial"/>
                <w:bCs/>
                <w:iCs/>
                <w:color w:val="000000" w:themeColor="text1"/>
              </w:rPr>
              <w:t>Questioning seen is well scaffolded, and responsive: agility is shown in breaking down questions into chunks and making effective deployment of e.g. choral response techniques.</w:t>
            </w:r>
            <w:r w:rsidR="00C3241D">
              <w:rPr>
                <w:rFonts w:ascii="Arial" w:hAnsi="Arial" w:cs="Arial"/>
                <w:bCs/>
                <w:iCs/>
                <w:color w:val="000000" w:themeColor="text1"/>
              </w:rPr>
              <w:t xml:space="preserve"> In turn, this also lends itself to an effective exposition, allowing disciplinary knowledge to be imparted as part of the ‘big picture’ for scholars. </w:t>
            </w:r>
          </w:p>
          <w:p w14:paraId="5F403F31" w14:textId="622A9257" w:rsidR="00BF659C" w:rsidRDefault="00BF659C" w:rsidP="00BF659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 xml:space="preserve">In Building Belonging groups in particular, a nurturing classrooms environment is seen, and scholars are </w:t>
            </w:r>
            <w:proofErr w:type="gramStart"/>
            <w:r>
              <w:rPr>
                <w:rFonts w:ascii="Arial" w:hAnsi="Arial" w:cs="Arial"/>
                <w:bCs/>
                <w:iCs/>
                <w:color w:val="000000" w:themeColor="text1"/>
              </w:rPr>
              <w:t>enthuse</w:t>
            </w:r>
            <w:proofErr w:type="gramEnd"/>
            <w:r>
              <w:rPr>
                <w:rFonts w:ascii="Arial" w:hAnsi="Arial" w:cs="Arial"/>
                <w:bCs/>
                <w:iCs/>
                <w:color w:val="000000" w:themeColor="text1"/>
              </w:rPr>
              <w:t xml:space="preserve"> by the local history (as part of the adapted curriculum). </w:t>
            </w:r>
          </w:p>
          <w:p w14:paraId="69043467" w14:textId="3778AD59" w:rsidR="00BF659C" w:rsidRDefault="00BF659C" w:rsidP="00BF659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 xml:space="preserve">Glossing of terms, as part of reading strategy, is effective e.g. ‘unplundered’. </w:t>
            </w:r>
          </w:p>
          <w:p w14:paraId="4156A151" w14:textId="3968EA62" w:rsidR="00BF659C" w:rsidRPr="00BF659C" w:rsidRDefault="00BF659C" w:rsidP="00BF659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 xml:space="preserve">Scaffolding of curriculum is effective, as seen through booklet use, which in turn means the intent of the curriculum is lived by scholars: e.g. during the ‘Your Turn’ part of one lesson, scholars were referring back to their own MWB answers and their </w:t>
            </w:r>
            <w:r w:rsidR="00C3241D">
              <w:rPr>
                <w:rFonts w:ascii="Arial" w:hAnsi="Arial" w:cs="Arial"/>
                <w:bCs/>
                <w:iCs/>
                <w:color w:val="000000" w:themeColor="text1"/>
              </w:rPr>
              <w:t>knowledge</w:t>
            </w:r>
            <w:r>
              <w:rPr>
                <w:rFonts w:ascii="Arial" w:hAnsi="Arial" w:cs="Arial"/>
                <w:bCs/>
                <w:iCs/>
                <w:color w:val="000000" w:themeColor="text1"/>
              </w:rPr>
              <w:t xml:space="preserve"> booklets, when pursuing excellence independently. </w:t>
            </w:r>
            <w:proofErr w:type="spellStart"/>
            <w:r w:rsidR="00C3241D">
              <w:rPr>
                <w:rFonts w:ascii="Arial" w:hAnsi="Arial" w:cs="Arial"/>
                <w:bCs/>
                <w:iCs/>
                <w:color w:val="000000" w:themeColor="text1"/>
              </w:rPr>
              <w:t>Hnece</w:t>
            </w:r>
            <w:proofErr w:type="spellEnd"/>
            <w:r w:rsidR="00C3241D">
              <w:rPr>
                <w:rFonts w:ascii="Arial" w:hAnsi="Arial" w:cs="Arial"/>
                <w:bCs/>
                <w:iCs/>
                <w:color w:val="000000" w:themeColor="text1"/>
              </w:rPr>
              <w:t xml:space="preserve">, the quality of extended writing is impressive. </w:t>
            </w:r>
          </w:p>
          <w:p w14:paraId="68B87B19" w14:textId="7DF007EF" w:rsidR="00BF659C" w:rsidRDefault="00BF659C" w:rsidP="00BF659C">
            <w:pPr>
              <w:pStyle w:val="ListParagraph"/>
              <w:rPr>
                <w:rFonts w:ascii="Arial" w:hAnsi="Arial" w:cs="Arial"/>
                <w:b/>
                <w:i/>
                <w:color w:val="000000" w:themeColor="text1"/>
              </w:rPr>
            </w:pPr>
          </w:p>
        </w:tc>
        <w:tc>
          <w:tcPr>
            <w:tcW w:w="4508" w:type="dxa"/>
          </w:tcPr>
          <w:p w14:paraId="39CE4EE1" w14:textId="77777777" w:rsidR="001A0BBA" w:rsidRDefault="001A0BBA" w:rsidP="00B13F46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14:paraId="66EC318A" w14:textId="77777777" w:rsidR="00721BF3" w:rsidRDefault="00BF659C" w:rsidP="00BF659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t xml:space="preserve">When taking feedback on sources from scholars, be judicious in the </w:t>
            </w:r>
            <w:proofErr w:type="gramStart"/>
            <w:r>
              <w:rPr>
                <w:rFonts w:ascii="Arial" w:hAnsi="Arial" w:cs="Arial"/>
                <w:iCs/>
                <w:color w:val="000000" w:themeColor="text1"/>
              </w:rPr>
              <w:t>amount</w:t>
            </w:r>
            <w:proofErr w:type="gramEnd"/>
            <w:r>
              <w:rPr>
                <w:rFonts w:ascii="Arial" w:hAnsi="Arial" w:cs="Arial"/>
                <w:iCs/>
                <w:color w:val="000000" w:themeColor="text1"/>
              </w:rPr>
              <w:t xml:space="preserve"> of questions taken so as to ensure the lesson is not inadvertently side-tracked for too long. </w:t>
            </w:r>
          </w:p>
          <w:p w14:paraId="2DDC9FB1" w14:textId="77777777" w:rsidR="00C3241D" w:rsidRDefault="00BF659C" w:rsidP="00BF659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t xml:space="preserve">The curriculum implementation can be adapted further, </w:t>
            </w:r>
            <w:r w:rsidR="00C3241D">
              <w:rPr>
                <w:rFonts w:ascii="Arial" w:hAnsi="Arial" w:cs="Arial"/>
                <w:iCs/>
                <w:color w:val="000000" w:themeColor="text1"/>
              </w:rPr>
              <w:t>with some classes and individual scholars being directed to step back from the scaffolds routinely provided e.g. the sentence starters for ‘scholarship’ aspects of lessons.</w:t>
            </w:r>
          </w:p>
          <w:p w14:paraId="08576047" w14:textId="621B116A" w:rsidR="00BF659C" w:rsidRPr="00BF659C" w:rsidRDefault="00C3241D" w:rsidP="00BF659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t xml:space="preserve">In some instances, there is a need for further opportunities for extended writing.  </w:t>
            </w:r>
          </w:p>
        </w:tc>
      </w:tr>
    </w:tbl>
    <w:p w14:paraId="16EDAFA4" w14:textId="77777777" w:rsidR="001009B1" w:rsidRPr="00952888" w:rsidRDefault="001009B1" w:rsidP="001009B1">
      <w:pPr>
        <w:rPr>
          <w:rFonts w:ascii="Arial" w:hAnsi="Arial" w:cs="Arial"/>
          <w:b/>
          <w:color w:val="000000" w:themeColor="text1"/>
        </w:rPr>
      </w:pPr>
    </w:p>
    <w:p w14:paraId="2324E9FF" w14:textId="77777777" w:rsidR="00C56C41" w:rsidRDefault="00E76237" w:rsidP="001276AF">
      <w:pPr>
        <w:rPr>
          <w:b/>
          <w:lang w:eastAsia="en-GB"/>
        </w:rPr>
      </w:pPr>
      <w:r>
        <w:rPr>
          <w:b/>
          <w:lang w:eastAsia="en-GB"/>
        </w:rPr>
        <w:lastRenderedPageBreak/>
        <w:t>Actions</w:t>
      </w:r>
    </w:p>
    <w:p w14:paraId="3777D51C" w14:textId="3D1FA36C" w:rsidR="00E15D0F" w:rsidRPr="00C3241D" w:rsidRDefault="00C3241D" w:rsidP="00C3241D">
      <w:pPr>
        <w:pStyle w:val="ListParagraph"/>
        <w:numPr>
          <w:ilvl w:val="0"/>
          <w:numId w:val="6"/>
        </w:numPr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 xml:space="preserve">As a department, revisit again how </w:t>
      </w:r>
      <w:r>
        <w:rPr>
          <w:rFonts w:ascii="Arial" w:hAnsi="Arial" w:cs="Arial"/>
          <w:iCs/>
          <w:color w:val="000000" w:themeColor="text1"/>
        </w:rPr>
        <w:t xml:space="preserve">some classes and individual scholars </w:t>
      </w:r>
      <w:r>
        <w:rPr>
          <w:rFonts w:ascii="Arial" w:hAnsi="Arial" w:cs="Arial"/>
          <w:iCs/>
          <w:color w:val="000000" w:themeColor="text1"/>
        </w:rPr>
        <w:t>can be d</w:t>
      </w:r>
      <w:r>
        <w:rPr>
          <w:rFonts w:ascii="Arial" w:hAnsi="Arial" w:cs="Arial"/>
          <w:iCs/>
          <w:color w:val="000000" w:themeColor="text1"/>
        </w:rPr>
        <w:t>irected to step back from the scaffolds routinely provided</w:t>
      </w:r>
      <w:r>
        <w:rPr>
          <w:rFonts w:ascii="Arial" w:hAnsi="Arial" w:cs="Arial"/>
          <w:iCs/>
          <w:color w:val="000000" w:themeColor="text1"/>
        </w:rPr>
        <w:t xml:space="preserve"> when undertaking independent practice. Furthermore, share examples amongst the department team of ‘how much scholars can do’, with examples of excellence show what we can expect of scholars. </w:t>
      </w:r>
      <w:r w:rsidR="00E15D0F">
        <w:rPr>
          <w:lang w:eastAsia="en-GB"/>
        </w:rPr>
        <w:br/>
      </w:r>
      <w:r w:rsidR="00E15D0F">
        <w:rPr>
          <w:lang w:eastAsia="en-GB"/>
        </w:rPr>
        <w:br/>
      </w:r>
    </w:p>
    <w:sectPr w:rsidR="00E15D0F" w:rsidRPr="00C3241D" w:rsidSect="00376C5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9DC24" w14:textId="77777777" w:rsidR="001F714A" w:rsidRDefault="001F714A" w:rsidP="001F714A">
      <w:pPr>
        <w:spacing w:after="0" w:line="240" w:lineRule="auto"/>
      </w:pPr>
      <w:r>
        <w:separator/>
      </w:r>
    </w:p>
  </w:endnote>
  <w:endnote w:type="continuationSeparator" w:id="0">
    <w:p w14:paraId="4E04CDA1" w14:textId="77777777" w:rsidR="001F714A" w:rsidRDefault="001F714A" w:rsidP="001F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80A70" w14:textId="77777777" w:rsidR="00C42D54" w:rsidRDefault="00C42D54">
    <w:pPr>
      <w:pStyle w:val="Footer"/>
    </w:pPr>
    <w:r>
      <w:rPr>
        <w:rFonts w:ascii="Arial" w:hAnsi="Arial" w:cs="Arial"/>
        <w:i/>
        <w:color w:val="000000" w:themeColor="text1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7654C" w14:textId="77777777" w:rsidR="001F714A" w:rsidRDefault="001F714A" w:rsidP="001F714A">
      <w:pPr>
        <w:spacing w:after="0" w:line="240" w:lineRule="auto"/>
      </w:pPr>
      <w:r>
        <w:separator/>
      </w:r>
    </w:p>
  </w:footnote>
  <w:footnote w:type="continuationSeparator" w:id="0">
    <w:p w14:paraId="15BCC07E" w14:textId="77777777" w:rsidR="001F714A" w:rsidRDefault="001F714A" w:rsidP="001F7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B6623" w14:textId="77777777" w:rsidR="001F714A" w:rsidRDefault="008427A2" w:rsidP="001F714A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CC1642" wp14:editId="047ED7FE">
              <wp:simplePos x="0" y="0"/>
              <wp:positionH relativeFrom="column">
                <wp:posOffset>-583271</wp:posOffset>
              </wp:positionH>
              <wp:positionV relativeFrom="paragraph">
                <wp:posOffset>-33752</wp:posOffset>
              </wp:positionV>
              <wp:extent cx="4424289" cy="485336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4289" cy="48533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BAFAEC" w14:textId="77777777" w:rsidR="008427A2" w:rsidRPr="008427A2" w:rsidRDefault="00C77F94" w:rsidP="008427A2">
                          <w:pPr>
                            <w:rPr>
                              <w:rFonts w:ascii="Arial" w:hAnsi="Arial" w:cs="Arial"/>
                              <w:i/>
                              <w:color w:val="0070C0"/>
                              <w:sz w:val="20"/>
                              <w:szCs w:val="20"/>
                            </w:rPr>
                          </w:pPr>
                          <w:r w:rsidRPr="00C77F94">
                            <w:rPr>
                              <w:rFonts w:ascii="Arial" w:hAnsi="Arial" w:cs="Arial"/>
                              <w:i/>
                              <w:noProof/>
                              <w:color w:val="0070C0"/>
                              <w:sz w:val="20"/>
                              <w:szCs w:val="20"/>
                              <w:lang w:eastAsia="en-GB"/>
                            </w:rPr>
                            <w:drawing>
                              <wp:inline distT="0" distB="0" distL="0" distR="0" wp14:anchorId="7ADC69BB" wp14:editId="74D11E05">
                                <wp:extent cx="4234815" cy="464723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34815" cy="46472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CC16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95pt;margin-top:-2.65pt;width:348.35pt;height:3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" fillcolor="white [3201]" stroked="f" strokeweight=".5pt">
              <v:textbox>
                <w:txbxContent>
                  <w:p w14:paraId="60BAFAEC" w14:textId="77777777" w:rsidR="008427A2" w:rsidRPr="008427A2" w:rsidRDefault="00C77F94" w:rsidP="008427A2">
                    <w:pPr>
                      <w:rPr>
                        <w:rFonts w:ascii="Arial" w:hAnsi="Arial" w:cs="Arial"/>
                        <w:i/>
                        <w:color w:val="0070C0"/>
                        <w:sz w:val="20"/>
                        <w:szCs w:val="20"/>
                      </w:rPr>
                    </w:pPr>
                    <w:r w:rsidRPr="00C77F94">
                      <w:rPr>
                        <w:rFonts w:ascii="Arial" w:hAnsi="Arial" w:cs="Arial"/>
                        <w:i/>
                        <w:noProof/>
                        <w:color w:val="0070C0"/>
                        <w:sz w:val="20"/>
                        <w:szCs w:val="20"/>
                        <w:lang w:eastAsia="en-GB"/>
                      </w:rPr>
                      <w:drawing>
                        <wp:inline distT="0" distB="0" distL="0" distR="0" wp14:anchorId="7ADC69BB" wp14:editId="74D11E05">
                          <wp:extent cx="4234815" cy="464723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34815" cy="4647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F714A" w:rsidRPr="00CB2A15">
      <w:rPr>
        <w:noProof/>
        <w:lang w:eastAsia="en-GB"/>
      </w:rPr>
      <w:drawing>
        <wp:inline distT="0" distB="0" distL="0" distR="0" wp14:anchorId="1130E1F9" wp14:editId="1B59D7DD">
          <wp:extent cx="1248195" cy="507396"/>
          <wp:effectExtent l="0" t="0" r="9525" b="6985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112" cy="521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645D"/>
    <w:multiLevelType w:val="hybridMultilevel"/>
    <w:tmpl w:val="CD5E2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25B39"/>
    <w:multiLevelType w:val="hybridMultilevel"/>
    <w:tmpl w:val="EAB01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D2B1C"/>
    <w:multiLevelType w:val="hybridMultilevel"/>
    <w:tmpl w:val="1DB88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41F76"/>
    <w:multiLevelType w:val="hybridMultilevel"/>
    <w:tmpl w:val="F7CCF454"/>
    <w:lvl w:ilvl="0" w:tplc="3D86948A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C6A00"/>
    <w:multiLevelType w:val="hybridMultilevel"/>
    <w:tmpl w:val="AABA0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90F15"/>
    <w:multiLevelType w:val="hybridMultilevel"/>
    <w:tmpl w:val="88EE7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21956"/>
    <w:multiLevelType w:val="hybridMultilevel"/>
    <w:tmpl w:val="E3CA6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200450">
    <w:abstractNumId w:val="5"/>
  </w:num>
  <w:num w:numId="2" w16cid:durableId="1606569608">
    <w:abstractNumId w:val="2"/>
  </w:num>
  <w:num w:numId="3" w16cid:durableId="60718757">
    <w:abstractNumId w:val="6"/>
  </w:num>
  <w:num w:numId="4" w16cid:durableId="27874097">
    <w:abstractNumId w:val="4"/>
  </w:num>
  <w:num w:numId="5" w16cid:durableId="661280897">
    <w:abstractNumId w:val="0"/>
  </w:num>
  <w:num w:numId="6" w16cid:durableId="1747191221">
    <w:abstractNumId w:val="1"/>
  </w:num>
  <w:num w:numId="7" w16cid:durableId="1864518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4A"/>
    <w:rsid w:val="000D1A7A"/>
    <w:rsid w:val="001009B1"/>
    <w:rsid w:val="001276AF"/>
    <w:rsid w:val="001A0BBA"/>
    <w:rsid w:val="001F714A"/>
    <w:rsid w:val="00236F4B"/>
    <w:rsid w:val="002765E5"/>
    <w:rsid w:val="00327CAD"/>
    <w:rsid w:val="00376C5A"/>
    <w:rsid w:val="003C7E1A"/>
    <w:rsid w:val="003E0EF1"/>
    <w:rsid w:val="00455C33"/>
    <w:rsid w:val="00456ABA"/>
    <w:rsid w:val="00462713"/>
    <w:rsid w:val="00465431"/>
    <w:rsid w:val="004B29FB"/>
    <w:rsid w:val="004C1947"/>
    <w:rsid w:val="004C27A6"/>
    <w:rsid w:val="00577060"/>
    <w:rsid w:val="0061584F"/>
    <w:rsid w:val="00721BF3"/>
    <w:rsid w:val="00756AF8"/>
    <w:rsid w:val="007A2022"/>
    <w:rsid w:val="007A4BEF"/>
    <w:rsid w:val="00801751"/>
    <w:rsid w:val="00821096"/>
    <w:rsid w:val="008427A2"/>
    <w:rsid w:val="0085694C"/>
    <w:rsid w:val="008A075B"/>
    <w:rsid w:val="008B3C7F"/>
    <w:rsid w:val="00952888"/>
    <w:rsid w:val="00967C73"/>
    <w:rsid w:val="009833C9"/>
    <w:rsid w:val="00B10EFD"/>
    <w:rsid w:val="00B21A10"/>
    <w:rsid w:val="00B2421A"/>
    <w:rsid w:val="00BF659C"/>
    <w:rsid w:val="00C241F0"/>
    <w:rsid w:val="00C3241D"/>
    <w:rsid w:val="00C34805"/>
    <w:rsid w:val="00C42D54"/>
    <w:rsid w:val="00C56C41"/>
    <w:rsid w:val="00C77F94"/>
    <w:rsid w:val="00CE6319"/>
    <w:rsid w:val="00D9176A"/>
    <w:rsid w:val="00E15D0F"/>
    <w:rsid w:val="00E47813"/>
    <w:rsid w:val="00E76237"/>
    <w:rsid w:val="00EE6B24"/>
    <w:rsid w:val="00EF0AE1"/>
    <w:rsid w:val="00F120AC"/>
    <w:rsid w:val="00F1599D"/>
    <w:rsid w:val="00F53098"/>
    <w:rsid w:val="00FD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6E2DF8F"/>
  <w15:chartTrackingRefBased/>
  <w15:docId w15:val="{B17DE140-000D-4099-B30E-F4559054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14A"/>
  </w:style>
  <w:style w:type="paragraph" w:styleId="Footer">
    <w:name w:val="footer"/>
    <w:basedOn w:val="Normal"/>
    <w:link w:val="FooterChar"/>
    <w:uiPriority w:val="99"/>
    <w:unhideWhenUsed/>
    <w:rsid w:val="001F7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14A"/>
  </w:style>
  <w:style w:type="table" w:styleId="TableGrid">
    <w:name w:val="Table Grid"/>
    <w:basedOn w:val="TableNormal"/>
    <w:uiPriority w:val="39"/>
    <w:rsid w:val="001F7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C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7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French</dc:creator>
  <cp:keywords/>
  <dc:description/>
  <cp:lastModifiedBy>Tom Hague</cp:lastModifiedBy>
  <cp:revision>3</cp:revision>
  <cp:lastPrinted>2020-10-13T08:10:00Z</cp:lastPrinted>
  <dcterms:created xsi:type="dcterms:W3CDTF">2024-03-20T05:08:00Z</dcterms:created>
  <dcterms:modified xsi:type="dcterms:W3CDTF">2024-03-20T05:26:00Z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fe2a56-af49-4a87-8d01-0ad3300d8c60_Enabled">
    <vt:lpwstr>true</vt:lpwstr>
  </property>
  <property fmtid="{D5CDD505-2E9C-101B-9397-08002B2CF9AE}" pid="3" name="MSIP_Label_d6fe2a56-af49-4a87-8d01-0ad3300d8c60_SetDate">
    <vt:lpwstr>2024-03-20T05:08:42Z</vt:lpwstr>
  </property>
  <property fmtid="{D5CDD505-2E9C-101B-9397-08002B2CF9AE}" pid="4" name="MSIP_Label_d6fe2a56-af49-4a87-8d01-0ad3300d8c60_Method">
    <vt:lpwstr>Standard</vt:lpwstr>
  </property>
  <property fmtid="{D5CDD505-2E9C-101B-9397-08002B2CF9AE}" pid="5" name="MSIP_Label_d6fe2a56-af49-4a87-8d01-0ad3300d8c60_Name">
    <vt:lpwstr>defa4170-0d19-0005-0004-bc88714345d2</vt:lpwstr>
  </property>
  <property fmtid="{D5CDD505-2E9C-101B-9397-08002B2CF9AE}" pid="6" name="MSIP_Label_d6fe2a56-af49-4a87-8d01-0ad3300d8c60_SiteId">
    <vt:lpwstr>51640577-21a1-4ce3-8bc8-5bb90cabad75</vt:lpwstr>
  </property>
  <property fmtid="{D5CDD505-2E9C-101B-9397-08002B2CF9AE}" pid="7" name="MSIP_Label_d6fe2a56-af49-4a87-8d01-0ad3300d8c60_ActionId">
    <vt:lpwstr>f28fa662-7ec6-4ab0-944a-8941674aa391</vt:lpwstr>
  </property>
  <property fmtid="{D5CDD505-2E9C-101B-9397-08002B2CF9AE}" pid="8" name="MSIP_Label_d6fe2a56-af49-4a87-8d01-0ad3300d8c60_ContentBits">
    <vt:lpwstr>0</vt:lpwstr>
  </property>
</Properties>
</file>